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65244" w:rsidRDefault="00216E0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265244" w:rsidRDefault="00216E0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265244" w:rsidRDefault="00265244">
      <w:pPr>
        <w:pStyle w:val="Heading6"/>
        <w:keepLines w:val="0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265244" w:rsidRDefault="00216E04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6: </w:t>
      </w:r>
      <w:r>
        <w:rPr>
          <w:rFonts w:ascii="Verdana" w:eastAsia="Verdana" w:hAnsi="Verdana" w:cs="Verdana"/>
          <w:b/>
          <w:color w:val="111111"/>
          <w:u w:val="single"/>
        </w:rPr>
        <w:t>Cities and Urban Land Use</w:t>
      </w:r>
    </w:p>
    <w:p w14:paraId="00000005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u w:val="single"/>
        </w:rPr>
      </w:pPr>
      <w:r>
        <w:rPr>
          <w:rFonts w:ascii="Verdana" w:eastAsia="Verdana" w:hAnsi="Verdana" w:cs="Verdana"/>
          <w:b/>
          <w:color w:val="111111"/>
          <w:u w:val="single"/>
        </w:rPr>
        <w:t xml:space="preserve">Key Terms </w:t>
      </w:r>
    </w:p>
    <w:p w14:paraId="00000006" w14:textId="77777777" w:rsidR="00265244" w:rsidRDefault="0026524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9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Urban Geography</w:t>
      </w:r>
    </w:p>
    <w:p w14:paraId="00000008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Synekism</w:t>
      </w:r>
    </w:p>
    <w:p w14:paraId="00000009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Social Stratification </w:t>
      </w:r>
    </w:p>
    <w:p w14:paraId="0000000A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Urban Morphology</w:t>
      </w:r>
    </w:p>
    <w:p w14:paraId="0000000B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Functio</w:t>
      </w:r>
      <w:bookmarkStart w:id="0" w:name="_GoBack"/>
      <w:bookmarkEnd w:id="0"/>
      <w:r>
        <w:rPr>
          <w:rFonts w:ascii="Verdana" w:eastAsia="Verdana" w:hAnsi="Verdana" w:cs="Verdana"/>
          <w:color w:val="111111"/>
          <w:sz w:val="20"/>
          <w:szCs w:val="20"/>
        </w:rPr>
        <w:t xml:space="preserve">nal Zonation </w:t>
      </w:r>
    </w:p>
    <w:p w14:paraId="0000000C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Rank-size Rule </w:t>
      </w:r>
    </w:p>
    <w:p w14:paraId="0000000D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Primate City</w:t>
      </w:r>
    </w:p>
    <w:p w14:paraId="0000000E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Zone</w:t>
      </w:r>
    </w:p>
    <w:p w14:paraId="0000000F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Central City</w:t>
      </w:r>
    </w:p>
    <w:p w14:paraId="00000010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Shantytowns</w:t>
      </w:r>
    </w:p>
    <w:p w14:paraId="00000011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Disamenity Sector </w:t>
      </w:r>
    </w:p>
    <w:p w14:paraId="00000012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Redlining </w:t>
      </w:r>
    </w:p>
    <w:p w14:paraId="00000013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Blockbusting </w:t>
      </w:r>
    </w:p>
    <w:p w14:paraId="00000014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Commercialization </w:t>
      </w:r>
    </w:p>
    <w:p w14:paraId="00000015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Gentrification  </w:t>
      </w:r>
    </w:p>
    <w:p w14:paraId="00000016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Teardowns</w:t>
      </w:r>
    </w:p>
    <w:p w14:paraId="00000017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McMansions </w:t>
      </w:r>
    </w:p>
    <w:p w14:paraId="00000018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Urban Sprawl </w:t>
      </w:r>
    </w:p>
    <w:p w14:paraId="00000019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New Urbanism </w:t>
      </w:r>
    </w:p>
    <w:p w14:paraId="0000001A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Global City </w:t>
      </w:r>
    </w:p>
    <w:p w14:paraId="0000001B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Spaces of Consumption  </w:t>
      </w:r>
    </w:p>
    <w:p w14:paraId="0000001C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  </w:t>
      </w:r>
    </w:p>
    <w:p w14:paraId="0000001D" w14:textId="77777777" w:rsidR="00265244" w:rsidRDefault="0026524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E" w14:textId="77777777" w:rsidR="00265244" w:rsidRDefault="0026524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F" w14:textId="77777777" w:rsidR="00265244" w:rsidRDefault="0026524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0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 </w:t>
      </w:r>
    </w:p>
    <w:p w14:paraId="00000021" w14:textId="77777777" w:rsidR="00265244" w:rsidRDefault="00216E0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  </w:t>
      </w:r>
    </w:p>
    <w:p w14:paraId="00000022" w14:textId="77777777" w:rsidR="00265244" w:rsidRDefault="00265244"/>
    <w:sectPr w:rsidR="0026524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44"/>
    <w:rsid w:val="00216E04"/>
    <w:rsid w:val="002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1A91-87F9-4710-9015-23A75FF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2020-01-23T19:49:00Z</dcterms:created>
  <dcterms:modified xsi:type="dcterms:W3CDTF">2020-01-23T19:49:00Z</dcterms:modified>
</cp:coreProperties>
</file>