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- </w:t>
      </w:r>
      <w:r w:rsidDel="00000000" w:rsidR="00000000" w:rsidRPr="00000000">
        <w:rPr>
          <w:rFonts w:ascii="Verdana" w:cs="Verdana" w:eastAsia="Verdana" w:hAnsi="Verdana"/>
          <w:b w:val="1"/>
          <w:color w:val="9900ff"/>
          <w:sz w:val="20"/>
          <w:szCs w:val="20"/>
          <w:u w:val="single"/>
          <w:rtl w:val="0"/>
        </w:rPr>
        <w:t xml:space="preserve">Spatial literacy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is the ability to use the properties of space to communicate, reason, and solve problems.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 spatially literate student is one who can: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have the habit of mind of thinking spatially—they know where, when, how, and why to think spatially.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practicing spatial thinking in an informed way—they have a broad and deep knowledge of spatial concepts and spatial representations, a command over spatial reasoning using a variety of spatial ways of thinking and acting, have well-developed spatial capabilities for using supporting tools and technologies.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adopting a critical stance to spatial thinking—they can evaluate the quality of spatial data based on their source, likely accuracy, and reliability; they can use spatial data to construct, articulate, and defend a line of reasoning or point of view in solving problems and answering questions; and they can evaluate the validity of arguments based on spatial information.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Verdana" w:cs="Verdana" w:eastAsia="Verdana" w:hAnsi="Verdana"/>
        <w:sz w:val="20"/>
        <w:szCs w:val="20"/>
        <w:u w:val="none"/>
        <w:shd w:fill="faf8ea" w:val="clear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